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5 vom 2. September 2024</w:t>
      </w:r>
    </w:p>
    <w:p>
      <w:r>
        <w:t>VS Kantonsgericht, 2024-09-02, FR</w:t>
      </w:r>
    </w:p>
    <w:p>
      <w:r>
        <w:rPr>
          <w:b/>
        </w:rPr>
        <w:t xml:space="preserve">Quelle: </w:t>
      </w:r>
      <w:r>
        <w:t>https://mcp.opencaselaw.ch/entscheid/vs_gerichte_A1 24 5</w:t>
      </w:r>
    </w:p>
    <w:p>
      <w:r>
        <w:t>FR: VS_GERICHTE A1 24 5 du 2 septembre 2024</w:t>
      </w:r>
    </w:p>
    <w:p>
      <w:r>
        <w:t>IT: VS_GERICHTE A1 24 5 del 2 settembre 2024</w:t>
      </w:r>
    </w:p>
    <w:p>
      <w:pPr>
        <w:pStyle w:val="Heading2"/>
      </w:pPr>
      <w:r>
        <w:t>Regeste</w:t>
      </w:r>
    </w:p>
    <w:p>
      <w:r>
        <w:t>A1 24 5 ARRÊT DU 2 SEPTEMBRE 2024 Tribunal cantonal du Valais Cour de droit public Composition : Christophe Joris, président, Jean-Bernard Fournier et Dr Thierry Schnyder, juges, Elodie Cosandey, greffière, en la cause COMMUNAUTÉ DES COPROPRIÉTAIRES PAR ÉTAGES DE L'IMMEUBLE « X _________ », par son administrateur, Y _________, recourante contre CONSEIL D'ÉTAT DU VALAIS, à Sion, autorité attaquée, COMMUNE DE Z _________, autre autorité (Construction &amp; urbanisme) recours de droit administratif contre la décision du 6 décembre 2023</w:t>
      </w:r>
    </w:p>
    <w:p>
      <w:pPr>
        <w:pStyle w:val="Heading2"/>
      </w:pPr>
      <w:r>
        <w:t>Erwägungen</w:t>
      </w:r>
    </w:p>
    <w:p>
      <w:r>
        <w:rPr>
          <w:b/>
        </w:rPr>
        <w:t>E. 1</w:t>
      </w:r>
    </w:p>
    <w:p>
      <w:r>
        <w:t>Déposé en temps utile contre la décision du Conseil d’Etat du 6 décembre 2023 par des personnes directement atteintes par celle-ci – étant précisé que les membres de la CPPE ont expressément autorisé l’administrateur à agir au nom et pour le compte de la communauté (cf. procès-verbal de l’assemblée du 17 février 2017, p. 4 du dossier du Conseil d’Etat) –, le recours du 9 janvier 2024 est recevable (art. 72, 78 let. a, 79a al. 1 let. c, 80 al. 1 let. a-c, 44 al. 1, 46 et 48 LPJA).</w:t>
      </w:r>
    </w:p>
    <w:p>
      <w:r>
        <w:rPr>
          <w:b/>
        </w:rPr>
        <w:t>E. 2</w:t>
      </w:r>
    </w:p>
    <w:p>
      <w:r>
        <w:t>Dans un grief de nature formelle qu'il convient d'examiner en premier lieu (ATF 141 V 495 consid. 2.2), la recourante invoque une violation de son droit d’être entendue au motif qu’elle n’aurait pas été informée de la modification du RCCZ, de la mise à jour de l’inventaire et du contenu de la fiche n° xx3.</w:t>
      </w:r>
    </w:p>
    <w:p>
      <w:r>
        <w:rPr>
          <w:b/>
        </w:rPr>
        <w:t>E. 2.1</w:t>
      </w:r>
    </w:p>
    <w:p>
      <w:r>
        <w:t>Le droit d'être entendu garanti par l'art.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Le droit cantonal consacre également de manière générale le droit d’être entendu par l’autorité compétente (art. 19 al. 1 LPJA).</w:t>
      </w:r>
    </w:p>
    <w:p>
      <w:r>
        <w:rPr>
          <w:b/>
        </w:rPr>
        <w:t>E. 2.2</w:t>
      </w:r>
    </w:p>
    <w:p>
      <w:r>
        <w:t>En l’occurrence, la recourante est malvenue de se plaindre de n’avoir pas été informée qu’une modification de la législation communale allait entrer en vigueur. En effet, la révision du RCCZ, relative à la réglementation de la vieille ville et à la protection des bâtiments inventoriés extra-muros (art. 96, 96bis et 97 RCCZ), a fait l’objet d’une mise à l’enquête publique par insertion au B.O du xx.xx1 2015. De surcroît, cette publication suivait, sur la même page, celle du classement et de la mise sous protection comme objet d’importance communale de la parcelle n° xxx1 à laquelle la recourante</w:t>
      </w:r>
    </w:p>
    <w:p>
      <w:r>
        <w:t>- 7 - s’est opposée dans le cadre de la présente procédure. A cela s’ajoute que, le 9 février 2022, le SAIC a transmis le préavis du SIP du 27 janvier 2022 à la recourante tout en lui indiquant que la modification partielle du RCCZ avait été homologuée et que le dossier d’homologation pouvait être consulté dans ses bureaux. Par courrier du 7 mars 2022, l’administrateur de la CPPE a accusé réception de cette correspondance. Malgré cela, aucune suite n’a été donnée aux multiples délais de détermination accordés. Quant à la fiche d’inventaire n° xx3, la décision communale du 20 juin 2018 y faisait déjà expressément référence et elle figurait au dossier du Conseil d’Etat, de sorte que rien n’empêchait la recourante ou l’un de ses représentants d’en prendre connaissance. Elle avait, en outre, été reproduite au début du préavis du SIP transmis le 9 février 2022, de sorte que la recourante ne pouvait en ignorer le contenu et qu’elle avait également eu tout le loisir de se déterminer à cet égard avant que le Conseil d’Etat rende sa décision. Etant donné que la recourante a renoncé à se déterminer sur ces éléments dans le délai imparti, elle ne saurait se prévaloir maintenant d’une violation de son droit d’être entendue. Le fait que, depuis le 7 avril 2023 au moins, elle ne soit plus représentée par un avocat n’y change rien puisqu’un nouveau délai lui avait été accordé à l’occasion de l’annonce de la fin du mandat pour qu’elle se détermine elle-même et que, précédemment à cela, les actes de son représentant lui étaient pleinement imputables (cf. ATF 143 I 284 consid. 1.3 et les réf. citées). Pour le surplus, l’on ne voit pas à quelle mise à jour de l’inventaire la recourante fait référence. En effet, la fiche n° xx3 est demeurée inchangée depuis le 18 juin 2018. Partant, mal fondé, le grief de violation du droit d’être entendu ne peut qu’être rejeté.</w:t>
      </w:r>
    </w:p>
    <w:p>
      <w:r>
        <w:rPr>
          <w:b/>
        </w:rPr>
        <w:t>E. 3</w:t>
      </w:r>
    </w:p>
    <w:p>
      <w:r>
        <w:t>Au fond, la recourante conteste, en substance, que la décision initiale repose sur une base légale suffisante, la modification du RCCZ y relative n’étant pas encore entrée en vigueur au moment du lancement de la procédure de classement et de mise sous protection de leur bien. Ce grief tombe manifestement à faux. En effet, tant l'art. 17 al. 1 et 2 LAT que les art. 11 al. 1 et 23 LcAT ainsi que 9 al. 3 LcPN permettent aux autorités compétentes de créer des zones à protéger comprenant le patrimoine bâti et de procéder au classement des monuments dignes de protection (cf. ATF 135 I 176 consid. 5). En l’occurrence, à l’issue de l’établissement de l’inventaire de son patrimoine bâti « extra-muros », la commune a mis à l’enquête publique le classement et la mise sous protection des objets d’importance communale figurant dans cet inventaire le xx.xx1 2015. A cette époque, l’art. 9 al. 3 LcPN prévoyait déjà, dans son ancienne teneur, que les communes</w:t>
      </w:r>
    </w:p>
    <w:p>
      <w:r>
        <w:t>- 8 - déterminaient les objets à protéger d'importance communale dans le cadre de leur aménagement du territoire et selon la législation sur les constructions. Cette disposition, ainsi que l’art. 13 al. 1 OcPN dans son ancienne teneur, renvoyaient aux art. 12 et suivants de l’ordonnance sur les constructions du 2 octobre 1996 (aOC) pour ce qui était de la procédure de classement. Ces articles, auxquels se référait déjà à bon droit l’avis au B.O. du xx.xx1 2015, constituaient donc une base légale suffisante pour commencer la procédure de classement, sans que rien n’indique qu’une modification préalable du RCCZ soit nécessaire. Il en va de même de l’art. 9 al. 3 LcPN dans sa nouvelle teneur en vigueur depuis le 1er janvier 2018, qui reste semblable à la précédente, la procédure de classement des objets d’importance communale étant maintenant toutefois réglée directement aux art. 13 et suivants OcPN. Cette appréciation est confirmée par le guide du patrimoine bâti à l’intention des communes qui mentionne spécifiquement que le classement et la mise sous protection par le biais de la modification du RCCZ sont deux étapes qui peuvent être menées en parallèle pour les objets à protéger d’importance communale (Guide à l’intention des communes - Patrimoine bâti, inventaire, classement, mise sous protection, SBMA, 2017, p. 3). Quant à l’art. 9 al. 4bis LcPN auquel le Conseil d’Etat fait référence, il a uniquement pour effet qu’aucune intervention susceptible de dénaturer le bâtiment objet de la présente procédure litigieuse de classement et de mise sous protection ne peut être entreprise depuis la publication au B.O. du xx.xx1 2015, quand bien même la décision n’est pas encore entrée en force en raison des recours successifs. A l’époque de cette mise à l’enquête, l’interdiction de modifier les objets classés dans un projet d’inventaire communal résultait alors de l’art. 13 aOC (cf. art. 18 al. 4 de la loi sur les constructions du 8 février 1996 [aLC]), ensuite remplacé, dès le 1er janvier 2018, par l’art. 9 al. 4bis LcPN, lequel n’a donc eu aucun effet anticipé. Cette disposition ne change au demeurant rien au fait qu’une base légale suffisante pour permettre aux autorités communales de commencer une procédure de classement et de mise sous protection existait déjà au niveau cantonal et fédéral lors de la publication du xx.xx1 2015. Partant, le grief est rejeté.</w:t>
      </w:r>
    </w:p>
    <w:p>
      <w:r>
        <w:rPr>
          <w:b/>
        </w:rPr>
        <w:t>E. 4</w:t>
      </w:r>
    </w:p>
    <w:p>
      <w:r>
        <w:t>Dans un dernier grief, la recourante soutient que les autorités communales et cantonales ont fait preuve d’arbitraire en tardant à rendre des décisions, puis en appliquant de manière anticipée une législation sans fondement.</w:t>
      </w:r>
    </w:p>
    <w:p>
      <w:r>
        <w:rPr>
          <w:b/>
        </w:rPr>
        <w:t>E. 4.1</w:t>
      </w:r>
    </w:p>
    <w:p>
      <w:r>
        <w:t>Une décision est arbitraire (art. 9 Cst.) lorsqu'elle contredit clairement la situation de fait, qu'elle viole gravement une norme ou un principe juridique clair et indiscuté ou</w:t>
      </w:r>
    </w:p>
    <w:p>
      <w:r>
        <w:t>- 9 - qu'elle heurte d'une manière choquante le sentiment de la justice et de l'équité. Il n'y a pas d'arbitraire du seul fait qu'une solution autre que celle de l'autorité critiquée semble concevable, voire préférable. Pour qu'une décision soit annulée pour cause d'arbitraire, il ne suffit pas que sa motivation soit insoutenable ; il faut encore que cette décision soit arbitraire dans son résultat (ATF 147 II 454 consid. 4.4 ; arrêt du Tribunal fédéral 5A_766/2022 du 26 janvier 2023 consid. 3.3.2.1).</w:t>
      </w:r>
    </w:p>
    <w:p>
      <w:r>
        <w:rPr>
          <w:b/>
        </w:rPr>
        <w:t>E. 4.2</w:t>
      </w:r>
    </w:p>
    <w:p>
      <w:r>
        <w:t>En l’espèce, si la durée relativement longue de la procédure peut apparaître critiquable, il n’en demeure pas moins que la recourante n’a rien fait pour l’accélérer, notamment en relançant régulièrement l’autorité, et a finalement obtenu des décisions sur ses recours. En outre, comme exposé au considérant 3 supra, aucune autorité intervenue dans ce dossier n’a appliqué de manière anticipée une législation sans fondement, puisque tant l'art. 17 al. 1 et 2 LAT que les art. 11 al. 1 et 23 LcAT ainsi que</w:t>
      </w:r>
    </w:p>
    <w:p>
      <w:r>
        <w:rPr>
          <w:b/>
        </w:rPr>
        <w:t>E. 9</w:t>
      </w:r>
    </w:p>
    <w:p>
      <w:r>
        <w:t>al. 3 LcPN permettent aux autorités compétentes de créer des zones à protéger et que l’art. 9 al. 4bis LcPN offre une protection aux objets à classer dès la mise à l’enquête de la proposition de classement. Dans ces conditions, ni le conseil municipal ni le Conseil d’Etat n’ont fait preuve d’un quelconque arbitraire. Partant, le grief est rejeté. 5. Attendu ce qui précède, le recours du 9 janvier 2024 est rejeté (art. 80 al. 1 let. e et 60 al. 1 LPJA). 6. Vu l'issue du litige, les frais de la cause, fixés principalement eu égard aux principes de la couverture des frais et de l’équivalence des prestations, à 1500 fr., sont mis à la charge de la recourante (art. 89 al. 1 LPJA ; art. 3 al. 3, 11, 13 al. 1 et 25 LTar), qui n’a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